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Obrazac br.3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BOSNA I  HERCEGOVINA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FEDERACIJA BOSNE I HERCEGOVINE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KANTON SARAJEVO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</w:rPr>
        <w:t>Kabinet predsjedavajućeg i zamjenika predsjedavajućeg Skupštine Kantona Sarajevo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(OBRAZAC NARATIVNOG I FINANSIJSKOG IZVJEŠTAJA)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Naziv organizacije, adresa, kontakt telefon___________________________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IZVJEŠTAJ O UTROŠKU BUDŽETSKIH SREDSTAVA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za projekat _____________________________________________________________,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prema Odluci broj ______________________ od __________________ godine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i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Ugovoru broj____________________________od______________________godine.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Iznos dobijenih sredstava od Kabineta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predsjedavajućeg i zamjenika predsjedavajućeg Skupštine Kantona Sarajevo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____________________________KM</w:t>
      </w:r>
      <w:r>
        <w:rPr>
          <w:rFonts w:cs="Times New Roman" w:ascii="Times New Roman" w:hAnsi="Times New Roman"/>
          <w:color w:val="000000"/>
          <w:sz w:val="24"/>
          <w:szCs w:val="24"/>
        </w:rPr>
        <w:t>(u daljem tekstu:Kabinet)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Narativni izvještaj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(U ovom dijelu nabrojati i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kratko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opisati provedene projektne aktivnosti sa vremenskim prikazom realizacije pojedinih aktivnosti,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da li su ostvareni ciljevi projekta ili opis efekata projekata, ako su sredstva dodijeljena po nekom drugom osnovu, broj učesnika u realizaciji, kako učesnika tako i lica zaduženih za organizaciju,eventualne probleme tokom </w:t>
      </w:r>
      <w:r>
        <w:rPr>
          <w:rFonts w:cs="Times New Roman" w:ascii="Times New Roman" w:hAnsi="Times New Roman"/>
          <w:color w:val="000000"/>
          <w:sz w:val="24"/>
          <w:szCs w:val="24"/>
        </w:rPr>
        <w:t>realizacije projekta</w:t>
      </w:r>
      <w:r>
        <w:rPr>
          <w:rFonts w:cs="Times New Roman" w:ascii="Times New Roman" w:hAnsi="Times New Roman"/>
          <w:color w:val="000000"/>
          <w:sz w:val="24"/>
          <w:szCs w:val="24"/>
        </w:rPr>
        <w:t>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Finansijski izvještaj  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(U ovom dijelu tabelarno prikazati pojedinačne troškove projekta. Obavezno razdvojiti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pozicije koje se odnose na administrativne troškove (maksimalno 30% odobrenih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sredstava), te pozicije koje se odnose na projektne aktivnosti (minimalno 70% odobrenih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sredstava). Finansijski izvještaj mora biti usaglašen sa prijedlogom budžeta projekta koji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je dostavljen u prijavnom obrascu (dostaviti kopiju prijedloga budžeta)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9308" w:type="dxa"/>
        <w:jc w:val="left"/>
        <w:tblInd w:w="-118" w:type="dxa"/>
        <w:tblBorders>
          <w:top w:val="double" w:sz="4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3"/>
      </w:tblGrid>
      <w:tr>
        <w:trPr/>
        <w:tc>
          <w:tcPr>
            <w:tcW w:w="9308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I. Administrativni troškovi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(max. 30% sredstava dobijenih od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Kabineta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vrsta troškova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broj/račun fakture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naziv pravnog lica kome je izvršeno plaćanje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broj izvoda iz banke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datum transakcije</w:t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EEEEEE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iznos</w:t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Administrativni poslovi (npr. Direktor, sekretar)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Najam ureda 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Režije 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Telefonski troškovi 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Uredski materijal 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Usluge knjigovodstvenog servisa 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 xml:space="preserve">Bankovni troškovi </w:t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3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75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Ukupno I : </w:t>
            </w:r>
          </w:p>
        </w:tc>
        <w:tc>
          <w:tcPr>
            <w:tcW w:w="15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(KM)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II. Direktni troškovi projekta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(min. 70% sredstava dobijenih od </w:t>
      </w:r>
      <w:r>
        <w:rPr>
          <w:rFonts w:cs="Times New Roman" w:ascii="Times New Roman" w:hAnsi="Times New Roman"/>
          <w:color w:val="000000"/>
          <w:sz w:val="24"/>
          <w:szCs w:val="24"/>
        </w:rPr>
        <w:t>Kabineta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)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(npr. namirnice, higijenski paketi, voditelj/ica projekta, voditelj/ica aktivnosti na projektu,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publikacije, najam prostora za aktivnosti, štampani materijali, kampanje, okrugli stolovi,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edukacija, honorari  i sl.)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308" w:type="dxa"/>
        <w:jc w:val="lef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51"/>
        <w:gridCol w:w="1551"/>
        <w:gridCol w:w="1551"/>
        <w:gridCol w:w="1551"/>
        <w:gridCol w:w="1551"/>
        <w:gridCol w:w="1553"/>
      </w:tblGrid>
      <w:tr>
        <w:trPr/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vrsta troškova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broj/račun fakture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naziv pravnog lica kome je izvršeno plaćanje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broj izvoda iz banke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datum transakcije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iznos</w:t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autoSpaceDE w:val="fals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75" w:hRule="atLeast"/>
        </w:trPr>
        <w:tc>
          <w:tcPr>
            <w:tcW w:w="775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Ukupno II : </w:t>
            </w:r>
          </w:p>
        </w:tc>
        <w:tc>
          <w:tcPr>
            <w:tcW w:w="15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(KM)</w:t>
            </w:r>
          </w:p>
        </w:tc>
      </w:tr>
      <w:tr>
        <w:trPr/>
        <w:tc>
          <w:tcPr>
            <w:tcW w:w="775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 xml:space="preserve">Ukupno I + II: </w:t>
            </w:r>
          </w:p>
        </w:tc>
        <w:tc>
          <w:tcPr>
            <w:tcW w:w="15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(KM)</w:t>
            </w:r>
          </w:p>
        </w:tc>
      </w:tr>
    </w:tbl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Popis angažovanog stručnog osoblja na projektu (ovjeren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i potpisan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od strane </w:t>
      </w:r>
      <w:r>
        <w:rPr>
          <w:rFonts w:cs="Times New Roman" w:ascii="Times New Roman" w:hAnsi="Times New Roman"/>
          <w:color w:val="000000"/>
          <w:sz w:val="24"/>
          <w:szCs w:val="24"/>
        </w:rPr>
        <w:t>odgovornog lica)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308" w:type="dxa"/>
        <w:jc w:val="left"/>
        <w:tblInd w:w="-118" w:type="dxa"/>
        <w:tblBorders>
          <w:top w:val="double" w:sz="4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17"/>
        <w:gridCol w:w="1985"/>
        <w:gridCol w:w="1701"/>
        <w:gridCol w:w="1559"/>
        <w:gridCol w:w="3246"/>
      </w:tblGrid>
      <w:tr>
        <w:trPr/>
        <w:tc>
          <w:tcPr>
            <w:tcW w:w="9308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STRUČNO OSOBLJE ANGAŽOVANO NA PROJEKTU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R. br.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ind w:left="91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ind w:left="7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Stručna sprema/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zanimanje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Aktivnosti na projektu</w:t>
            </w:r>
          </w:p>
        </w:tc>
        <w:tc>
          <w:tcPr>
            <w:tcW w:w="32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Nalozi za isplatu angažova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nih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 xml:space="preserve"> lica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  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2   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3   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4   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5    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46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  <w:insideH w:val="single" w:sz="4" w:space="0" w:color="000000"/>
              <w:insideV w:val="double" w:sz="4" w:space="0" w:color="000000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Za troškove aktivnosti npr. edukacije i sl. obavezno dostaviti i potpisane spiskove učesnika/korisnika </w:t>
      </w:r>
      <w:r>
        <w:rPr>
          <w:rFonts w:cs="Times New Roman" w:ascii="Times New Roman" w:hAnsi="Times New Roman"/>
          <w:color w:val="000000"/>
          <w:sz w:val="24"/>
          <w:szCs w:val="24"/>
        </w:rPr>
        <w:t>(ovjerene pečatom i potpisom odgovornog lica).</w:t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OBAVEZNO</w:t>
      </w:r>
      <w:r>
        <w:rPr>
          <w:rFonts w:ascii="Times New Roman" w:hAnsi="Times New Roman"/>
          <w:sz w:val="24"/>
          <w:szCs w:val="24"/>
        </w:rPr>
        <w:t xml:space="preserve"> u prilogu ovog izvještaja priložiti svu potrebnu finansijsku dokumentaciju kao dokaz o namjenskom utrošku budžetskih sredstava.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Kopije svih računa u iznosu sredstava dobijenih od </w:t>
      </w:r>
      <w:r>
        <w:rPr>
          <w:rFonts w:cs="Times New Roman" w:ascii="Times New Roman" w:hAnsi="Times New Roman"/>
          <w:color w:val="000000"/>
          <w:sz w:val="24"/>
          <w:szCs w:val="24"/>
        </w:rPr>
        <w:t>Kabineta</w:t>
      </w:r>
      <w:r>
        <w:rPr>
          <w:rFonts w:cs="Times New Roman" w:ascii="Times New Roman" w:hAnsi="Times New Roman"/>
          <w:color w:val="000000"/>
          <w:sz w:val="24"/>
          <w:szCs w:val="24"/>
        </w:rPr>
        <w:t>, u skladu sa finansijskim izvještajem, jasno odvojen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i označen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po budžetskim stavkama, </w:t>
      </w:r>
      <w:r>
        <w:rPr>
          <w:rFonts w:cs="Times New Roman" w:ascii="Times New Roman" w:hAnsi="Times New Roman"/>
          <w:color w:val="000000"/>
          <w:sz w:val="24"/>
          <w:szCs w:val="24"/>
        </w:rPr>
        <w:t>moraju biti ovjerene pečatom korisnika sredstava i potpisom odgovornog lica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Svako plaćanje treba biti dokumentovano izvodom iz banke o promjenama stanja na računu korisnika koji mora biti ovjeren pečatom i potpisom odgovornog lica.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Izvještaj sa svim prilozima podnosi se </w:t>
      </w:r>
      <w:r>
        <w:rPr>
          <w:rFonts w:cs="Times New Roman" w:ascii="Times New Roman" w:hAnsi="Times New Roman"/>
          <w:color w:val="000000"/>
          <w:sz w:val="24"/>
          <w:szCs w:val="24"/>
        </w:rPr>
        <w:t>Kabinetu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a predaje putem pošte ili </w:t>
      </w:r>
      <w:r>
        <w:rPr>
          <w:rFonts w:cs="Times New Roman" w:ascii="Times New Roman" w:hAnsi="Times New Roman"/>
          <w:color w:val="000000"/>
          <w:sz w:val="24"/>
          <w:szCs w:val="24"/>
        </w:rPr>
        <w:t>putem protokola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adres</w:t>
      </w:r>
      <w:r>
        <w:rPr>
          <w:rFonts w:cs="Times New Roman" w:ascii="Times New Roman" w:hAnsi="Times New Roman"/>
          <w:color w:val="000000"/>
          <w:sz w:val="24"/>
          <w:szCs w:val="24"/>
        </w:rPr>
        <w:t>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KANTON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SARAJEVO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(Navesti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organ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i adresu)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Arial" w:ascii="Arial" w:hAnsi="Arial"/>
          <w:b/>
          <w:bCs/>
          <w:color w:val="000000"/>
        </w:rPr>
        <w:t>[</w:t>
      </w:r>
      <w:r>
        <w:rPr>
          <w:rFonts w:cs="Times New Roman" w:ascii="Times New Roman" w:hAnsi="Times New Roman"/>
          <w:b/>
          <w:bCs/>
          <w:color w:val="000000"/>
        </w:rPr>
        <w:t>sa naznakom</w:t>
      </w:r>
      <w:r>
        <w:rPr>
          <w:rFonts w:cs="Arial" w:ascii="Arial" w:hAnsi="Arial"/>
          <w:b/>
          <w:bCs/>
          <w:color w:val="000000"/>
        </w:rPr>
        <w:t xml:space="preserve">]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  <w:t xml:space="preserve"> </w:t>
      </w:r>
    </w:p>
    <w:p>
      <w:pPr>
        <w:pStyle w:val="Normal"/>
        <w:autoSpaceDE w:val="false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''Izvještaj o realizaciji projekta  ___________________ udruženja 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</w:rPr>
        <w:t>___________________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</w:rPr>
        <w:t>_________________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prema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dluci broj ____________ od ___________ godine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i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Ugovoru broj_______________od______________________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'' 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Projekat je podržan iz Programa raspodjele sredstava za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___________________________________________________________________________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(naziv programa )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za ______ godinu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________________________________________Kantona Sarajevo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ab/>
        <w:tab/>
        <w:t xml:space="preserve">                        (navesti organ)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Samo izvještaji urađeni u skladu sa navedenim modelom smatrat će se prihvatljivim.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MP</w:t>
        <w:tab/>
        <w:tab/>
        <w:tab/>
        <w:t>__________________________</w:t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 xml:space="preserve">      ( potpis odgovornog lica)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bs-B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bs-BA" w:eastAsia="zh-CN" w:bidi="ar-SA"/>
    </w:rPr>
  </w:style>
  <w:style w:type="character" w:styleId="DefaultParagraphFont">
    <w:name w:val="Default Paragraph Font"/>
    <w:qFormat/>
    <w:rPr/>
  </w:style>
  <w:style w:type="character" w:styleId="CharChar">
    <w:name w:val=" Char Char"/>
    <w:basedOn w:val="DefaultParagraphFont"/>
    <w:qFormat/>
    <w:rPr>
      <w:rFonts w:ascii="Tahoma" w:hAnsi="Tahoma" w:cs="Tahoma"/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LibreOffice/5.4.7.2$Windows_x86 LibreOffice_project/c838ef25c16710f8838b1faec480ebba495259d0</Application>
  <Pages>3</Pages>
  <Words>500</Words>
  <Characters>3568</Characters>
  <CharactersWithSpaces>4193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2015-11-18T16:31:00Z</dcterms:created>
  <dc:creator>trezor1</dc:creator>
  <dc:description/>
  <dc:language>bs-BA</dc:language>
  <cp:lastModifiedBy>Aida Arap</cp:lastModifiedBy>
  <cp:lastPrinted>2022-03-03T12:22:08Z</cp:lastPrinted>
  <dcterms:modified xsi:type="dcterms:W3CDTF">2022-03-03T12:21:59Z</dcterms:modified>
  <cp:revision>11</cp:revision>
  <dc:subject/>
  <dc:title>(OBRAZAC NARATIVNOG I FINANSIJSKOG IZVJEŠTAJA)</dc:title>
</cp:coreProperties>
</file>